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4D" w:rsidRPr="006B0B4D" w:rsidRDefault="006B0B4D" w:rsidP="006B0B4D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6B0B4D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TRANSPARENCIA PROACTIVA</w:t>
      </w:r>
    </w:p>
    <w:p w:rsidR="006B0B4D" w:rsidRPr="006B0B4D" w:rsidRDefault="006B0B4D" w:rsidP="006B0B4D">
      <w:pPr>
        <w:jc w:val="both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</w:p>
    <w:p w:rsidR="006B0B4D" w:rsidRPr="006B0B4D" w:rsidRDefault="006B0B4D" w:rsidP="006B0B4D">
      <w:pPr>
        <w:jc w:val="both"/>
        <w:rPr>
          <w:b/>
          <w:sz w:val="32"/>
          <w:szCs w:val="32"/>
        </w:rPr>
      </w:pPr>
      <w:r w:rsidRPr="006B0B4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A la presente fecha la Comisión de Conciliación y Arbitraje Médico del Estado de Campeche no cuenta con información de utilidad o de carácter relevante, ni ha generado información </w:t>
      </w:r>
      <w:bookmarkStart w:id="0" w:name="_GoBack"/>
      <w:bookmarkEnd w:id="0"/>
      <w:r w:rsidRPr="006B0B4D">
        <w:rPr>
          <w:rFonts w:ascii="Arial" w:hAnsi="Arial" w:cs="Arial"/>
          <w:color w:val="333333"/>
          <w:sz w:val="32"/>
          <w:szCs w:val="32"/>
          <w:shd w:val="clear" w:color="auto" w:fill="FFFFFF"/>
        </w:rPr>
        <w:t>con carácter de proactiva.</w:t>
      </w:r>
    </w:p>
    <w:p w:rsidR="00F52D90" w:rsidRPr="006B0B4D" w:rsidRDefault="00F52D90" w:rsidP="006B0B4D">
      <w:pPr>
        <w:jc w:val="both"/>
        <w:rPr>
          <w:sz w:val="32"/>
          <w:szCs w:val="32"/>
        </w:rPr>
      </w:pPr>
    </w:p>
    <w:sectPr w:rsidR="00F52D90" w:rsidRPr="006B0B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D"/>
    <w:rsid w:val="006B0B4D"/>
    <w:rsid w:val="00F5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61130-6F58-47B1-AE5A-2ABBF21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4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2019-09-25T16:20:00Z</dcterms:created>
  <dcterms:modified xsi:type="dcterms:W3CDTF">2019-09-25T16:21:00Z</dcterms:modified>
</cp:coreProperties>
</file>