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52" w:rsidRDefault="00FC6E52" w:rsidP="00FC6E52">
      <w:pPr>
        <w:spacing w:after="0" w:line="259" w:lineRule="auto"/>
        <w:ind w:left="26" w:firstLine="0"/>
        <w:jc w:val="center"/>
      </w:pPr>
    </w:p>
    <w:p w:rsidR="00FC6E52" w:rsidRDefault="00FC6E52" w:rsidP="00FC6E52">
      <w:pPr>
        <w:spacing w:after="0" w:line="259" w:lineRule="auto"/>
        <w:ind w:left="26" w:firstLine="0"/>
        <w:jc w:val="right"/>
        <w:rPr>
          <w:rFonts w:ascii="Arial Black" w:hAnsi="Arial Black"/>
        </w:rPr>
      </w:pPr>
      <w:r w:rsidRPr="00892AD2">
        <w:rPr>
          <w:rFonts w:ascii="Arial Black" w:hAnsi="Arial Black"/>
        </w:rPr>
        <w:t>FORMATO</w:t>
      </w:r>
      <w:r>
        <w:rPr>
          <w:rFonts w:ascii="Arial Black" w:hAnsi="Arial Black"/>
        </w:rPr>
        <w:t>-</w:t>
      </w:r>
      <w:r w:rsidRPr="00892AD2">
        <w:rPr>
          <w:rFonts w:ascii="Arial Black" w:hAnsi="Arial Black"/>
        </w:rPr>
        <w:t>I</w:t>
      </w:r>
      <w:r>
        <w:rPr>
          <w:rFonts w:ascii="Arial Black" w:hAnsi="Arial Black"/>
        </w:rPr>
        <w:t>-PE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ind w:left="0" w:firstLine="0"/>
        <w:rPr>
          <w:b/>
          <w:sz w:val="20"/>
          <w:szCs w:val="20"/>
        </w:rPr>
      </w:pPr>
      <w:r w:rsidRPr="00621BF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Pr="00621BFA">
        <w:rPr>
          <w:b/>
          <w:sz w:val="20"/>
          <w:szCs w:val="20"/>
        </w:rPr>
        <w:t>PODER EJECUTIVO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jc w:val="center"/>
        <w:rPr>
          <w:b/>
          <w:sz w:val="20"/>
          <w:szCs w:val="20"/>
        </w:rPr>
      </w:pPr>
      <w:r w:rsidRPr="00621BFA">
        <w:rPr>
          <w:b/>
          <w:sz w:val="20"/>
          <w:szCs w:val="20"/>
        </w:rPr>
        <w:t xml:space="preserve">Tabla de aplicabilidad de las obligaciones comunes y específicas de </w:t>
      </w:r>
      <w:r w:rsidR="0012432F">
        <w:rPr>
          <w:b/>
          <w:sz w:val="20"/>
          <w:szCs w:val="20"/>
        </w:rPr>
        <w:t>SECRETARÍA DE TURISMO</w:t>
      </w:r>
      <w:r>
        <w:rPr>
          <w:b/>
          <w:sz w:val="20"/>
          <w:szCs w:val="20"/>
        </w:rPr>
        <w:t xml:space="preserve"> correspondiente al año </w:t>
      </w:r>
      <w:r w:rsidR="0012432F">
        <w:rPr>
          <w:b/>
          <w:sz w:val="20"/>
          <w:szCs w:val="20"/>
        </w:rPr>
        <w:t>2018.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Pr="00621BFA" w:rsidRDefault="00FC6E52" w:rsidP="00FC6E52">
      <w:pPr>
        <w:jc w:val="center"/>
        <w:rPr>
          <w:sz w:val="20"/>
          <w:szCs w:val="20"/>
        </w:rPr>
      </w:pPr>
      <w:r w:rsidRPr="00621BFA">
        <w:rPr>
          <w:sz w:val="20"/>
          <w:szCs w:val="20"/>
        </w:rPr>
        <w:t xml:space="preserve">Artículos </w:t>
      </w:r>
      <w:r>
        <w:rPr>
          <w:sz w:val="20"/>
          <w:szCs w:val="20"/>
        </w:rPr>
        <w:t>74</w:t>
      </w:r>
      <w:r w:rsidRPr="00621B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Pr="00621BFA">
        <w:rPr>
          <w:sz w:val="20"/>
          <w:szCs w:val="20"/>
        </w:rPr>
        <w:t>75 de la Ley de Transparencia y Acceso a la Información Pública del Estado de Campeche.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1164"/>
        <w:gridCol w:w="3022"/>
        <w:gridCol w:w="1361"/>
        <w:gridCol w:w="1130"/>
        <w:gridCol w:w="967"/>
      </w:tblGrid>
      <w:tr w:rsidR="00565388" w:rsidRPr="00621BFA" w:rsidTr="007B5616">
        <w:trPr>
          <w:trHeight w:val="244"/>
        </w:trPr>
        <w:tc>
          <w:tcPr>
            <w:tcW w:w="0" w:type="auto"/>
            <w:vMerge w:val="restart"/>
          </w:tcPr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30CF8">
              <w:rPr>
                <w:rFonts w:eastAsia="Calibri"/>
                <w:color w:val="auto"/>
                <w:sz w:val="20"/>
                <w:szCs w:val="20"/>
                <w:lang w:eastAsia="en-US"/>
              </w:rPr>
              <w:t>Orden de G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o</w:t>
            </w: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bierno</w:t>
            </w:r>
          </w:p>
        </w:tc>
        <w:tc>
          <w:tcPr>
            <w:tcW w:w="0" w:type="auto"/>
            <w:vMerge w:val="restart"/>
          </w:tcPr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Tipo de Sujeto obligado</w:t>
            </w:r>
          </w:p>
        </w:tc>
        <w:tc>
          <w:tcPr>
            <w:tcW w:w="0" w:type="auto"/>
            <w:gridSpan w:val="2"/>
          </w:tcPr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OBLIGACIONES COMUNES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(artículo </w:t>
            </w: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74 Ley Estatal)</w:t>
            </w:r>
          </w:p>
        </w:tc>
        <w:tc>
          <w:tcPr>
            <w:tcW w:w="0" w:type="auto"/>
            <w:gridSpan w:val="2"/>
          </w:tcPr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OBLIGACIONES ESPECIFICAS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(artículo 75 Ley Estatal e</w:t>
            </w:r>
          </w:p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Inciso f del artículo 71 de la Ley General)</w:t>
            </w:r>
          </w:p>
        </w:tc>
      </w:tr>
      <w:tr w:rsidR="00565388" w:rsidRPr="00621BFA" w:rsidTr="007B5616">
        <w:trPr>
          <w:trHeight w:val="244"/>
        </w:trPr>
        <w:tc>
          <w:tcPr>
            <w:tcW w:w="0" w:type="auto"/>
            <w:vMerge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Aplica</w:t>
            </w:r>
          </w:p>
        </w:tc>
        <w:tc>
          <w:tcPr>
            <w:tcW w:w="0" w:type="auto"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No Aplica</w:t>
            </w:r>
          </w:p>
        </w:tc>
        <w:tc>
          <w:tcPr>
            <w:tcW w:w="0" w:type="auto"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Aplica</w:t>
            </w:r>
          </w:p>
        </w:tc>
        <w:tc>
          <w:tcPr>
            <w:tcW w:w="0" w:type="auto"/>
          </w:tcPr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No Aplica</w:t>
            </w:r>
          </w:p>
        </w:tc>
      </w:tr>
      <w:tr w:rsidR="00565388" w:rsidRPr="00747D2E" w:rsidTr="007B5616">
        <w:trPr>
          <w:trHeight w:val="1607"/>
        </w:trPr>
        <w:tc>
          <w:tcPr>
            <w:tcW w:w="0" w:type="auto"/>
          </w:tcPr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FC6E52" w:rsidRDefault="00FC6E52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FC6E52" w:rsidRPr="00621BFA" w:rsidRDefault="00FC6E52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</w:rPr>
              <w:t>Estatal o Municipal</w:t>
            </w:r>
          </w:p>
        </w:tc>
        <w:tc>
          <w:tcPr>
            <w:tcW w:w="0" w:type="auto"/>
          </w:tcPr>
          <w:p w:rsidR="00FC6E52" w:rsidRDefault="00FC6E52" w:rsidP="007B5616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FC6E52" w:rsidRDefault="00FC6E52" w:rsidP="007B5616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FC6E52" w:rsidRPr="00621BFA" w:rsidRDefault="00FC6E52" w:rsidP="007B5616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  <w:r w:rsidRPr="00621BFA">
              <w:rPr>
                <w:rFonts w:ascii="Calibri" w:eastAsia="Calibri" w:hAnsi="Calibri" w:cs="Calibri"/>
                <w:color w:val="auto"/>
                <w:lang w:eastAsia="en-US"/>
              </w:rPr>
              <w:t>Poder Ejecutivo</w:t>
            </w:r>
          </w:p>
        </w:tc>
        <w:tc>
          <w:tcPr>
            <w:tcW w:w="0" w:type="auto"/>
          </w:tcPr>
          <w:p w:rsidR="00FF6D03" w:rsidRPr="0012432F" w:rsidRDefault="00FF6D03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en-US" w:eastAsia="en-US"/>
              </w:rPr>
            </w:pPr>
          </w:p>
          <w:p w:rsidR="00FC6E52" w:rsidRPr="00641D63" w:rsidRDefault="00FF6D03" w:rsidP="00565388">
            <w:pPr>
              <w:rPr>
                <w:rFonts w:ascii="Calibri" w:eastAsia="Calibri" w:hAnsi="Calibri" w:cs="Calibri"/>
                <w:lang w:val="en-US" w:eastAsia="en-US"/>
              </w:rPr>
            </w:pPr>
            <w:r w:rsidRPr="00641D63">
              <w:rPr>
                <w:rFonts w:ascii="Calibri" w:eastAsia="Calibri" w:hAnsi="Calibri" w:cs="Calibri"/>
                <w:lang w:val="en-US" w:eastAsia="en-US"/>
              </w:rPr>
              <w:t>I,II,II</w:t>
            </w:r>
            <w:r w:rsidR="00F8503B"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641D63">
              <w:rPr>
                <w:rFonts w:ascii="Calibri" w:eastAsia="Calibri" w:hAnsi="Calibri" w:cs="Calibri"/>
                <w:lang w:val="en-US" w:eastAsia="en-US"/>
              </w:rPr>
              <w:t>,IV,VI,VII,</w:t>
            </w:r>
            <w:r w:rsidR="00741398" w:rsidRPr="00641D63">
              <w:rPr>
                <w:rFonts w:ascii="Calibri" w:eastAsia="Calibri" w:hAnsi="Calibri" w:cs="Calibri"/>
                <w:lang w:val="en-US" w:eastAsia="en-US"/>
              </w:rPr>
              <w:t>IX, X, XI, XII, XIII, XV, XVII,XIX, XX, XXI, XXII</w:t>
            </w:r>
            <w:r w:rsidR="00641D63" w:rsidRPr="00641D63">
              <w:rPr>
                <w:rFonts w:ascii="Calibri" w:eastAsia="Calibri" w:hAnsi="Calibri" w:cs="Calibri"/>
                <w:lang w:val="en-US" w:eastAsia="en-US"/>
              </w:rPr>
              <w:t xml:space="preserve">, </w:t>
            </w:r>
            <w:r w:rsidR="00741398" w:rsidRPr="00641D63">
              <w:rPr>
                <w:rFonts w:ascii="Calibri" w:eastAsia="Calibri" w:hAnsi="Calibri" w:cs="Calibri"/>
                <w:lang w:val="en-US" w:eastAsia="en-US"/>
              </w:rPr>
              <w:t>XXV, XXVII</w:t>
            </w:r>
            <w:r w:rsidR="00641D63">
              <w:rPr>
                <w:rFonts w:ascii="Calibri" w:eastAsia="Calibri" w:hAnsi="Calibri" w:cs="Calibri"/>
                <w:lang w:val="en-US" w:eastAsia="en-US"/>
              </w:rPr>
              <w:t>, XXIX, XXX, XXXI, XXXIII, XXXV,</w:t>
            </w:r>
            <w:r w:rsidR="00F8503B">
              <w:rPr>
                <w:rFonts w:ascii="Calibri" w:eastAsia="Calibri" w:hAnsi="Calibri" w:cs="Calibri"/>
                <w:lang w:val="en-US" w:eastAsia="en-US"/>
              </w:rPr>
              <w:t xml:space="preserve">XXXVI, </w:t>
            </w:r>
            <w:r w:rsidR="00641D63">
              <w:rPr>
                <w:rFonts w:ascii="Calibri" w:eastAsia="Calibri" w:hAnsi="Calibri" w:cs="Calibri"/>
                <w:lang w:val="en-US" w:eastAsia="en-US"/>
              </w:rPr>
              <w:t xml:space="preserve"> XXXVII, XXXVIII, XXXIX, XL, XLI, XLII,</w:t>
            </w:r>
            <w:r w:rsidR="00565388">
              <w:rPr>
                <w:rFonts w:ascii="Calibri" w:eastAsia="Calibri" w:hAnsi="Calibri" w:cs="Calibri"/>
                <w:lang w:val="en-US" w:eastAsia="en-US"/>
              </w:rPr>
              <w:t xml:space="preserve">  XLV, XLVI, XL</w:t>
            </w:r>
            <w:r w:rsidR="00BF011D">
              <w:rPr>
                <w:rFonts w:ascii="Calibri" w:eastAsia="Calibri" w:hAnsi="Calibri" w:cs="Calibri"/>
                <w:lang w:val="en-US" w:eastAsia="en-US"/>
              </w:rPr>
              <w:t>V</w:t>
            </w:r>
            <w:bookmarkStart w:id="0" w:name="_GoBack"/>
            <w:bookmarkEnd w:id="0"/>
            <w:r w:rsidR="00565388">
              <w:rPr>
                <w:rFonts w:ascii="Calibri" w:eastAsia="Calibri" w:hAnsi="Calibri" w:cs="Calibri"/>
                <w:lang w:val="en-US" w:eastAsia="en-US"/>
              </w:rPr>
              <w:t>II, XLIII</w:t>
            </w:r>
          </w:p>
        </w:tc>
        <w:tc>
          <w:tcPr>
            <w:tcW w:w="0" w:type="auto"/>
          </w:tcPr>
          <w:p w:rsidR="00FC6E52" w:rsidRPr="00641D63" w:rsidRDefault="00FF6D03" w:rsidP="0056538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en-US" w:eastAsia="en-US"/>
              </w:rPr>
            </w:pPr>
            <w:r w:rsidRPr="00641D63">
              <w:rPr>
                <w:rFonts w:ascii="Calibri" w:eastAsia="Calibri" w:hAnsi="Calibri" w:cs="Calibri"/>
                <w:color w:val="auto"/>
                <w:lang w:val="en-US" w:eastAsia="en-US"/>
              </w:rPr>
              <w:t>V</w:t>
            </w:r>
            <w:r w:rsidR="00741398" w:rsidRPr="00641D63">
              <w:rPr>
                <w:rFonts w:ascii="Calibri" w:eastAsia="Calibri" w:hAnsi="Calibri" w:cs="Calibri"/>
                <w:color w:val="auto"/>
                <w:lang w:val="en-US" w:eastAsia="en-US"/>
              </w:rPr>
              <w:t>, VIII, XIV, XVI, XVIII,</w:t>
            </w:r>
            <w:r w:rsidR="00B91F3F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 </w:t>
            </w:r>
            <w:r w:rsidR="00741398" w:rsidRPr="00641D63">
              <w:rPr>
                <w:rFonts w:ascii="Calibri" w:eastAsia="Calibri" w:hAnsi="Calibri" w:cs="Calibri"/>
                <w:color w:val="auto"/>
                <w:lang w:val="en-US" w:eastAsia="en-US"/>
              </w:rPr>
              <w:t>XXIII,</w:t>
            </w:r>
            <w:r w:rsidR="00B91F3F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 </w:t>
            </w:r>
            <w:r w:rsidR="00741398" w:rsidRPr="00641D63">
              <w:rPr>
                <w:rFonts w:ascii="Calibri" w:eastAsia="Calibri" w:hAnsi="Calibri" w:cs="Calibri"/>
                <w:color w:val="auto"/>
                <w:lang w:val="en-US" w:eastAsia="en-US"/>
              </w:rPr>
              <w:t>XXIV, XXVI,</w:t>
            </w:r>
            <w:r w:rsidR="00641D63" w:rsidRPr="00641D63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 XXVIII, </w:t>
            </w:r>
            <w:r w:rsidR="00641D63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XXXII, XXXIV,  </w:t>
            </w:r>
            <w:r w:rsidR="00565388">
              <w:rPr>
                <w:rFonts w:ascii="Calibri" w:eastAsia="Calibri" w:hAnsi="Calibri" w:cs="Calibri"/>
                <w:lang w:val="en-US" w:eastAsia="en-US"/>
              </w:rPr>
              <w:t>XLIII, XLIV</w:t>
            </w:r>
          </w:p>
        </w:tc>
        <w:tc>
          <w:tcPr>
            <w:tcW w:w="0" w:type="auto"/>
          </w:tcPr>
          <w:p w:rsidR="00FC6E52" w:rsidRPr="00747D2E" w:rsidRDefault="00747D2E" w:rsidP="00747D2E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 xml:space="preserve">I.- </w:t>
            </w:r>
            <w:r w:rsidRPr="00747D2E">
              <w:rPr>
                <w:rFonts w:ascii="Calibri" w:eastAsia="Calibri" w:hAnsi="Calibri" w:cs="Calibri"/>
                <w:color w:val="auto"/>
                <w:lang w:eastAsia="en-US"/>
              </w:rPr>
              <w:t>a),</w:t>
            </w:r>
            <w:r>
              <w:rPr>
                <w:rFonts w:ascii="Calibri" w:eastAsia="Calibri" w:hAnsi="Calibri" w:cs="Calibri"/>
                <w:color w:val="auto"/>
                <w:lang w:eastAsia="en-US"/>
              </w:rPr>
              <w:t xml:space="preserve"> b), e)</w:t>
            </w:r>
            <w:r w:rsidR="00F8503B">
              <w:rPr>
                <w:rFonts w:ascii="Calibri" w:eastAsia="Calibri" w:hAnsi="Calibri" w:cs="Calibri"/>
                <w:color w:val="auto"/>
                <w:lang w:eastAsia="en-US"/>
              </w:rPr>
              <w:t>, f),.</w:t>
            </w:r>
          </w:p>
        </w:tc>
        <w:tc>
          <w:tcPr>
            <w:tcW w:w="0" w:type="auto"/>
          </w:tcPr>
          <w:p w:rsidR="00747D2E" w:rsidRDefault="00747D2E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 xml:space="preserve">I.- c), d), </w:t>
            </w:r>
          </w:p>
          <w:p w:rsidR="00747D2E" w:rsidRDefault="00747D2E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FC6E52" w:rsidRPr="00747D2E" w:rsidRDefault="00747D2E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 xml:space="preserve">II.- a), b) </w:t>
            </w:r>
          </w:p>
        </w:tc>
      </w:tr>
    </w:tbl>
    <w:p w:rsidR="00FC6E52" w:rsidRPr="00747D2E" w:rsidRDefault="00FC6E52" w:rsidP="00FC6E52">
      <w:pPr>
        <w:spacing w:after="0" w:line="259" w:lineRule="auto"/>
        <w:ind w:left="26" w:firstLine="0"/>
        <w:jc w:val="left"/>
        <w:rPr>
          <w:rFonts w:ascii="Arial Black" w:hAnsi="Arial Black"/>
          <w:sz w:val="20"/>
          <w:szCs w:val="20"/>
        </w:rPr>
      </w:pPr>
    </w:p>
    <w:p w:rsidR="00741398" w:rsidRPr="00747D2E" w:rsidRDefault="00741398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9A4954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Artículo 7</w:t>
      </w:r>
      <w:r w:rsidR="00341649">
        <w:rPr>
          <w:rFonts w:ascii="Arial Black" w:hAnsi="Arial Black"/>
          <w:sz w:val="20"/>
          <w:szCs w:val="20"/>
        </w:rPr>
        <w:t>4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741398" w:rsidRDefault="009A4954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fracción </w:t>
      </w:r>
      <w:proofErr w:type="gramStart"/>
      <w:r>
        <w:rPr>
          <w:rFonts w:ascii="Arial Black" w:hAnsi="Arial Black"/>
          <w:sz w:val="20"/>
          <w:szCs w:val="20"/>
        </w:rPr>
        <w:t xml:space="preserve">V  </w:t>
      </w:r>
      <w:r w:rsidRPr="009A4954">
        <w:rPr>
          <w:rFonts w:ascii="Arial Black" w:hAnsi="Arial Black"/>
          <w:sz w:val="20"/>
          <w:szCs w:val="20"/>
        </w:rPr>
        <w:t>No</w:t>
      </w:r>
      <w:proofErr w:type="gramEnd"/>
      <w:r w:rsidRPr="009A4954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9A4954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9A4954">
        <w:rPr>
          <w:rFonts w:ascii="Arial Black" w:hAnsi="Arial Black"/>
          <w:sz w:val="20"/>
          <w:szCs w:val="20"/>
        </w:rPr>
        <w:t xml:space="preserve"> a lo establecido en el artículo 22 de La Ley Orgánica de la Administración Pública, le corresponde a la Secretaría de Finanzas del Gobierno del Estado de Campeche dicha atribución.</w:t>
      </w:r>
    </w:p>
    <w:p w:rsidR="009A4954" w:rsidRDefault="009A4954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2F31B7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VIII  </w:t>
      </w:r>
      <w:r w:rsidRPr="001E3659">
        <w:rPr>
          <w:rFonts w:ascii="Arial Black" w:hAnsi="Arial Black"/>
          <w:sz w:val="20"/>
          <w:szCs w:val="20"/>
        </w:rPr>
        <w:t>No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</w:t>
      </w:r>
      <w:proofErr w:type="spellStart"/>
      <w:r w:rsidRPr="001E3659">
        <w:rPr>
          <w:rFonts w:ascii="Arial Black" w:hAnsi="Arial Black"/>
          <w:sz w:val="20"/>
          <w:szCs w:val="20"/>
        </w:rPr>
        <w:t>establicido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en el artículo 23 fracciones I, II, III, V, VI y XXI de La Ley Orgánica de la Administración </w:t>
      </w:r>
      <w:proofErr w:type="spellStart"/>
      <w:r w:rsidRPr="001E3659">
        <w:rPr>
          <w:rFonts w:ascii="Arial Black" w:hAnsi="Arial Black"/>
          <w:sz w:val="20"/>
          <w:szCs w:val="20"/>
        </w:rPr>
        <w:t>Pública,los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artículos 1, 3, 5, 12 y 17 del Reglamento Interior de la Secretaria de administración e Innovación Gubernamental del Estado de </w:t>
      </w:r>
      <w:proofErr w:type="spellStart"/>
      <w:r w:rsidRPr="001E3659">
        <w:rPr>
          <w:rFonts w:ascii="Arial Black" w:hAnsi="Arial Black"/>
          <w:sz w:val="20"/>
          <w:szCs w:val="20"/>
        </w:rPr>
        <w:t>Campeche,corresponde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a la Secretaria de administración e Innovación Gubernamental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XIV  </w:t>
      </w:r>
      <w:r w:rsidRPr="001E3659">
        <w:rPr>
          <w:rFonts w:ascii="Arial Black" w:hAnsi="Arial Black"/>
          <w:sz w:val="20"/>
          <w:szCs w:val="20"/>
        </w:rPr>
        <w:t>No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establecido en el artículo 23 fracciones I, II, III, de La Ley Orgánica de la Administración </w:t>
      </w:r>
      <w:proofErr w:type="spellStart"/>
      <w:r w:rsidRPr="001E3659">
        <w:rPr>
          <w:rFonts w:ascii="Arial Black" w:hAnsi="Arial Black"/>
          <w:sz w:val="20"/>
          <w:szCs w:val="20"/>
        </w:rPr>
        <w:t>Pública,los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artículos 1, 3, 5, 12 y 17 del Reglamento Interior de la Secretaria de administración e Innovación Gubernamental del Estado de </w:t>
      </w:r>
      <w:proofErr w:type="spellStart"/>
      <w:r w:rsidRPr="001E3659">
        <w:rPr>
          <w:rFonts w:ascii="Arial Black" w:hAnsi="Arial Black"/>
          <w:sz w:val="20"/>
          <w:szCs w:val="20"/>
        </w:rPr>
        <w:t>Campeche,corresponde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a la Secretaria de administración e Innovación Gubernamental del Gobierno del Estado de Campeche, dicha atribución.</w:t>
      </w:r>
    </w:p>
    <w:p w:rsidR="002F31B7" w:rsidRDefault="002F31B7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2F31B7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XVI  </w:t>
      </w:r>
      <w:r w:rsidRPr="001E3659">
        <w:rPr>
          <w:rFonts w:ascii="Arial Black" w:hAnsi="Arial Black"/>
          <w:sz w:val="20"/>
          <w:szCs w:val="20"/>
        </w:rPr>
        <w:t>No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Además, conforme a lo establecido en el artículo 23 fracciones I, II, III, V, VI y XXI de La Ley Orgánica de la Administración Pública, corresponde a la Secretaria de administración e Innovación Gubernamental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XVIII   </w:t>
      </w:r>
      <w:r w:rsidRPr="001E365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establecido en el artículo 24 fracciones I y XXI de La Ley Orgánica de la Administración Pública,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corresponde a la Secretaria de Contraloría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Facción XXIII   </w:t>
      </w:r>
      <w:r w:rsidRPr="001E365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</w:t>
      </w:r>
      <w:proofErr w:type="spellStart"/>
      <w:r w:rsidRPr="001E3659">
        <w:rPr>
          <w:rFonts w:ascii="Arial Black" w:hAnsi="Arial Black"/>
          <w:sz w:val="20"/>
          <w:szCs w:val="20"/>
        </w:rPr>
        <w:t>establicido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en el artículo 42 fracción II y artículo 44 de La Ley Orgánica de la Administración </w:t>
      </w:r>
      <w:proofErr w:type="spellStart"/>
      <w:r w:rsidRPr="001E3659">
        <w:rPr>
          <w:rFonts w:ascii="Arial Black" w:hAnsi="Arial Black"/>
          <w:sz w:val="20"/>
          <w:szCs w:val="20"/>
        </w:rPr>
        <w:t>Pública,corresponde</w:t>
      </w:r>
      <w:proofErr w:type="spellEnd"/>
      <w:r w:rsidRPr="001E3659">
        <w:rPr>
          <w:rFonts w:ascii="Arial Black" w:hAnsi="Arial Black"/>
          <w:sz w:val="20"/>
          <w:szCs w:val="20"/>
        </w:rPr>
        <w:t xml:space="preserve"> a la Oficina del Gobernador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Facción </w:t>
      </w:r>
      <w:proofErr w:type="gramStart"/>
      <w:r>
        <w:rPr>
          <w:rFonts w:ascii="Arial Black" w:hAnsi="Arial Black"/>
          <w:sz w:val="20"/>
          <w:szCs w:val="20"/>
        </w:rPr>
        <w:t xml:space="preserve">XXIV  </w:t>
      </w:r>
      <w:r w:rsidRPr="001E3659">
        <w:rPr>
          <w:rFonts w:ascii="Arial Black" w:hAnsi="Arial Black"/>
          <w:sz w:val="20"/>
          <w:szCs w:val="20"/>
        </w:rPr>
        <w:t>No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establecido en el artículo 24 fracciones I y VI,VII Y VIII de La Ley Orgánica de la Administración Pública,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corresponde a la Secretaria de Contraloría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XXVI  </w:t>
      </w:r>
      <w:r w:rsidRPr="001E3659">
        <w:rPr>
          <w:rFonts w:ascii="Arial Black" w:hAnsi="Arial Black"/>
          <w:sz w:val="20"/>
          <w:szCs w:val="20"/>
        </w:rPr>
        <w:t>No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Además,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 xml:space="preserve">conforme a lo establecido en el artículo 23 Y </w:t>
      </w:r>
      <w:proofErr w:type="gramStart"/>
      <w:r w:rsidRPr="001E3659">
        <w:rPr>
          <w:rFonts w:ascii="Arial Black" w:hAnsi="Arial Black"/>
          <w:sz w:val="20"/>
          <w:szCs w:val="20"/>
        </w:rPr>
        <w:t>35  de</w:t>
      </w:r>
      <w:proofErr w:type="gramEnd"/>
      <w:r w:rsidRPr="001E3659">
        <w:rPr>
          <w:rFonts w:ascii="Arial Black" w:hAnsi="Arial Black"/>
          <w:sz w:val="20"/>
          <w:szCs w:val="20"/>
        </w:rPr>
        <w:t xml:space="preserve"> La Ley Orgánica de la Administración Pública,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corresponde a la Secretaria de administración e Innovación Gubernamental y a la Secretaría de Desarrollo Urbano, Obras Públicas e Infraestructura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XXVIII </w:t>
      </w:r>
      <w:r w:rsidRPr="001E365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establecido en el artículo 23 de La Ley Orgánica de la Administración Pública,</w:t>
      </w:r>
      <w:r>
        <w:rPr>
          <w:rFonts w:ascii="Arial Black" w:hAnsi="Arial Black"/>
          <w:sz w:val="20"/>
          <w:szCs w:val="20"/>
        </w:rPr>
        <w:t xml:space="preserve">  </w:t>
      </w:r>
      <w:r w:rsidRPr="001E3659">
        <w:rPr>
          <w:rFonts w:ascii="Arial Black" w:hAnsi="Arial Black"/>
          <w:sz w:val="20"/>
          <w:szCs w:val="20"/>
        </w:rPr>
        <w:t>corresponde a la Secretaria de administración e Innovación Gubernamental del Gobierno del Estado de Campeche, dicha atribución.</w:t>
      </w: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1E3659" w:rsidRDefault="001E365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XXXII </w:t>
      </w:r>
      <w:r w:rsidRPr="001E365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1E3659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1E3659">
        <w:rPr>
          <w:rFonts w:ascii="Arial Black" w:hAnsi="Arial Black"/>
          <w:sz w:val="20"/>
          <w:szCs w:val="20"/>
        </w:rPr>
        <w:t xml:space="preserve"> a lo establecido en el artículo 23, fracción XI de La Ley Orgánica de la Administración Pública,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corresponde a la Secretaria de administración e Innovación Gubernamental del Gobierno del Estado de Campeche, dicha atribución.</w:t>
      </w: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XXXIV  </w:t>
      </w:r>
      <w:r w:rsidRPr="00B91F3F">
        <w:rPr>
          <w:rFonts w:ascii="Arial Black" w:hAnsi="Arial Black"/>
          <w:sz w:val="20"/>
          <w:szCs w:val="20"/>
        </w:rPr>
        <w:t>No</w:t>
      </w:r>
      <w:proofErr w:type="gramEnd"/>
      <w:r w:rsidRPr="00B91F3F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B91F3F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B91F3F">
        <w:rPr>
          <w:rFonts w:ascii="Arial Black" w:hAnsi="Arial Black"/>
          <w:sz w:val="20"/>
          <w:szCs w:val="20"/>
        </w:rPr>
        <w:t xml:space="preserve"> a lo </w:t>
      </w:r>
      <w:proofErr w:type="spellStart"/>
      <w:r w:rsidRPr="00B91F3F">
        <w:rPr>
          <w:rFonts w:ascii="Arial Black" w:hAnsi="Arial Black"/>
          <w:sz w:val="20"/>
          <w:szCs w:val="20"/>
        </w:rPr>
        <w:t>establicido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en el artículo 23, fracción  IX y X,  de La Ley Orgánica de la Administración </w:t>
      </w:r>
      <w:proofErr w:type="spellStart"/>
      <w:r w:rsidRPr="00B91F3F">
        <w:rPr>
          <w:rFonts w:ascii="Arial Black" w:hAnsi="Arial Black"/>
          <w:sz w:val="20"/>
          <w:szCs w:val="20"/>
        </w:rPr>
        <w:t>Pública,corresponde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a la Secretaria de administración e Innovación Gubernamental del Gobierno del Estado de Campeche, dicha atribución.</w:t>
      </w:r>
      <w:r>
        <w:rPr>
          <w:rFonts w:ascii="Arial Black" w:hAnsi="Arial Black"/>
          <w:sz w:val="20"/>
          <w:szCs w:val="20"/>
        </w:rPr>
        <w:t xml:space="preserve"> </w:t>
      </w: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XLIII  </w:t>
      </w:r>
      <w:r w:rsidRPr="00B91F3F">
        <w:rPr>
          <w:rFonts w:ascii="Arial Black" w:hAnsi="Arial Black"/>
          <w:sz w:val="20"/>
          <w:szCs w:val="20"/>
        </w:rPr>
        <w:t>No</w:t>
      </w:r>
      <w:proofErr w:type="gramEnd"/>
      <w:r w:rsidRPr="00B91F3F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spellStart"/>
      <w:proofErr w:type="gramStart"/>
      <w:r w:rsidRPr="00B91F3F">
        <w:rPr>
          <w:rFonts w:ascii="Arial Black" w:hAnsi="Arial Black"/>
          <w:sz w:val="20"/>
          <w:szCs w:val="20"/>
        </w:rPr>
        <w:t>Además,conforme</w:t>
      </w:r>
      <w:proofErr w:type="spellEnd"/>
      <w:proofErr w:type="gramEnd"/>
      <w:r w:rsidRPr="00B91F3F">
        <w:rPr>
          <w:rFonts w:ascii="Arial Black" w:hAnsi="Arial Black"/>
          <w:sz w:val="20"/>
          <w:szCs w:val="20"/>
        </w:rPr>
        <w:t xml:space="preserve"> a lo </w:t>
      </w:r>
      <w:proofErr w:type="spellStart"/>
      <w:r w:rsidRPr="00B91F3F">
        <w:rPr>
          <w:rFonts w:ascii="Arial Black" w:hAnsi="Arial Black"/>
          <w:sz w:val="20"/>
          <w:szCs w:val="20"/>
        </w:rPr>
        <w:t>establicido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en el artículo 22, fracción VI, VII XII de La Ley Orgánica de la Administración </w:t>
      </w:r>
      <w:proofErr w:type="spellStart"/>
      <w:r w:rsidRPr="00B91F3F">
        <w:rPr>
          <w:rFonts w:ascii="Arial Black" w:hAnsi="Arial Black"/>
          <w:sz w:val="20"/>
          <w:szCs w:val="20"/>
        </w:rPr>
        <w:t>Pública,corresponde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a la Secretaría de Finanzas del Gobierno del Estado de Campeche, dicha atribución.</w:t>
      </w: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B91F3F" w:rsidRDefault="00B91F3F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 xml:space="preserve">XLIV  </w:t>
      </w:r>
      <w:r w:rsidRPr="00B91F3F">
        <w:rPr>
          <w:rFonts w:ascii="Arial Black" w:hAnsi="Arial Black"/>
          <w:sz w:val="20"/>
          <w:szCs w:val="20"/>
        </w:rPr>
        <w:t>No</w:t>
      </w:r>
      <w:proofErr w:type="gramEnd"/>
      <w:r w:rsidRPr="00B91F3F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 36 La Ley Orgánica de la Administración Pública. Corresponde a la Secretaría de Desarrollo Energético Sustentable quien tiene a su cargo la competencia de gestionar, coordinar y dar seguimiento a los donativos, donaciones, aportaciones, proyectos de beneficio mutuo y, en general, a todos los apoyos otorgados al Estado de Campeche como lo señala el artículo 11 fracción I y 15 fracción  II de su reglamento interior, así como a la Secretaría de Desarrollo Social y Humano quien tiene a su cargo analizar la integración de los </w:t>
      </w:r>
      <w:proofErr w:type="spellStart"/>
      <w:r w:rsidRPr="00B91F3F">
        <w:rPr>
          <w:rFonts w:ascii="Arial Black" w:hAnsi="Arial Black"/>
          <w:sz w:val="20"/>
          <w:szCs w:val="20"/>
        </w:rPr>
        <w:t>expredientes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técnicos y financieros de los programas, proyectos, obras y acciones autorizadas con recursos otorgados al Estado, por el Ejecutivo Federal, mediante donativos, tal como lo </w:t>
      </w:r>
      <w:proofErr w:type="spellStart"/>
      <w:r w:rsidRPr="00B91F3F">
        <w:rPr>
          <w:rFonts w:ascii="Arial Black" w:hAnsi="Arial Black"/>
          <w:sz w:val="20"/>
          <w:szCs w:val="20"/>
        </w:rPr>
        <w:t>señalael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artículo 21 fracción IV de su reglamento interior y a la secretaría de Administración e Innovación Gubernamental en </w:t>
      </w:r>
      <w:proofErr w:type="spellStart"/>
      <w:r w:rsidRPr="00B91F3F">
        <w:rPr>
          <w:rFonts w:ascii="Arial Black" w:hAnsi="Arial Black"/>
          <w:sz w:val="20"/>
          <w:szCs w:val="20"/>
        </w:rPr>
        <w:t>l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artículo 23 </w:t>
      </w:r>
      <w:proofErr w:type="spellStart"/>
      <w:r w:rsidRPr="00B91F3F">
        <w:rPr>
          <w:rFonts w:ascii="Arial Black" w:hAnsi="Arial Black"/>
          <w:sz w:val="20"/>
          <w:szCs w:val="20"/>
        </w:rPr>
        <w:t>fraccón</w:t>
      </w:r>
      <w:proofErr w:type="spellEnd"/>
      <w:r w:rsidRPr="00B91F3F">
        <w:rPr>
          <w:rFonts w:ascii="Arial Black" w:hAnsi="Arial Black"/>
          <w:sz w:val="20"/>
          <w:szCs w:val="20"/>
        </w:rPr>
        <w:t xml:space="preserve"> IX de la Ley Orgánica de la Administración Pública del Estado de Campeche.</w:t>
      </w:r>
      <w:r>
        <w:rPr>
          <w:rFonts w:ascii="Arial Black" w:hAnsi="Arial Black"/>
          <w:sz w:val="20"/>
          <w:szCs w:val="20"/>
        </w:rPr>
        <w:t xml:space="preserve"> </w:t>
      </w:r>
    </w:p>
    <w:p w:rsidR="00341649" w:rsidRDefault="00341649" w:rsidP="00FC6E52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Artículo 75</w:t>
      </w: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>I,  c</w:t>
      </w:r>
      <w:proofErr w:type="gramEnd"/>
      <w:r>
        <w:rPr>
          <w:rFonts w:ascii="Arial Black" w:hAnsi="Arial Black"/>
          <w:sz w:val="20"/>
          <w:szCs w:val="20"/>
        </w:rPr>
        <w:t xml:space="preserve">)  </w:t>
      </w:r>
      <w:r w:rsidRPr="0034164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Además, conforme a lo establecido en el artículo 40 fracción I de la Ley Orgánica de la Administración </w:t>
      </w:r>
      <w:proofErr w:type="gramStart"/>
      <w:r w:rsidRPr="00341649">
        <w:rPr>
          <w:rFonts w:ascii="Arial Black" w:hAnsi="Arial Black"/>
          <w:sz w:val="20"/>
          <w:szCs w:val="20"/>
        </w:rPr>
        <w:t>Pública  y</w:t>
      </w:r>
      <w:proofErr w:type="gramEnd"/>
      <w:r w:rsidRPr="00341649">
        <w:rPr>
          <w:rFonts w:ascii="Arial Black" w:hAnsi="Arial Black"/>
          <w:sz w:val="20"/>
          <w:szCs w:val="20"/>
        </w:rPr>
        <w:t xml:space="preserve"> en el reglamento interior de la Consejería Jurídica corresponde a la Consejería Jurídica dicha atribución.</w:t>
      </w: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>I,  d</w:t>
      </w:r>
      <w:proofErr w:type="gramEnd"/>
      <w:r>
        <w:rPr>
          <w:rFonts w:ascii="Arial Black" w:hAnsi="Arial Black"/>
          <w:sz w:val="20"/>
          <w:szCs w:val="20"/>
        </w:rPr>
        <w:t xml:space="preserve">);   </w:t>
      </w:r>
      <w:r w:rsidRPr="0034164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gramStart"/>
      <w:r w:rsidRPr="00341649">
        <w:rPr>
          <w:rFonts w:ascii="Arial Black" w:hAnsi="Arial Black"/>
          <w:sz w:val="20"/>
          <w:szCs w:val="20"/>
        </w:rPr>
        <w:t>Además,  conforme</w:t>
      </w:r>
      <w:proofErr w:type="gramEnd"/>
      <w:r w:rsidRPr="00341649">
        <w:rPr>
          <w:rFonts w:ascii="Arial Black" w:hAnsi="Arial Black"/>
          <w:sz w:val="20"/>
          <w:szCs w:val="20"/>
        </w:rPr>
        <w:t xml:space="preserve"> a lo establecido en la Ley Orgánica de la Administración Pública del Estado de Campeche, corresponde a la Secretaría de finanzas dicha atribución.</w:t>
      </w:r>
    </w:p>
    <w:p w:rsidR="00341649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B55FD5" w:rsidRDefault="00341649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proofErr w:type="gramStart"/>
      <w:r>
        <w:rPr>
          <w:rFonts w:ascii="Arial Black" w:hAnsi="Arial Black"/>
          <w:sz w:val="20"/>
          <w:szCs w:val="20"/>
        </w:rPr>
        <w:t>II,  a</w:t>
      </w:r>
      <w:proofErr w:type="gramEnd"/>
      <w:r>
        <w:rPr>
          <w:rFonts w:ascii="Arial Black" w:hAnsi="Arial Black"/>
          <w:sz w:val="20"/>
          <w:szCs w:val="20"/>
        </w:rPr>
        <w:t xml:space="preserve">); </w:t>
      </w:r>
      <w:r w:rsidR="00B55FD5" w:rsidRPr="00B55FD5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 y 3 del Reglamento Interior de la Secretaría de Turismo de la Administración Pública del Estado de Campeche. </w:t>
      </w:r>
      <w:proofErr w:type="gramStart"/>
      <w:r w:rsidR="00B55FD5" w:rsidRPr="00B55FD5">
        <w:rPr>
          <w:rFonts w:ascii="Arial Black" w:hAnsi="Arial Black"/>
          <w:sz w:val="20"/>
          <w:szCs w:val="20"/>
        </w:rPr>
        <w:t>Además,  conforme</w:t>
      </w:r>
      <w:proofErr w:type="gramEnd"/>
      <w:r w:rsidR="00B55FD5" w:rsidRPr="00B55FD5">
        <w:rPr>
          <w:rFonts w:ascii="Arial Black" w:hAnsi="Arial Black"/>
          <w:sz w:val="20"/>
          <w:szCs w:val="20"/>
        </w:rPr>
        <w:t xml:space="preserve"> a lo establecido en el artículo 123, fracción VIII de la Ley Orgánica de los Municipios del Estado de Campeche, corresponde a los Municipios del Estado de Campeche dicha atribución.</w:t>
      </w:r>
    </w:p>
    <w:p w:rsidR="00B55FD5" w:rsidRDefault="00B55FD5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341649" w:rsidRDefault="00B55FD5" w:rsidP="00341649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Fracción II, b); </w:t>
      </w:r>
      <w:r w:rsidRPr="00B55FD5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 y 3 del Reglamento Interior de la Secretaría de Turismo de la Administración Pública del estado de Campeche. Además,  conforme a lo establecido en los artículos 57-60, de la Ley Orgánica de los Municipios del Estado de Campeche, corresponde a los Municipios del Estado de Campeche dicha atribución.</w:t>
      </w:r>
      <w:r w:rsidR="00341649">
        <w:rPr>
          <w:rFonts w:ascii="Arial Black" w:hAnsi="Arial Black"/>
          <w:sz w:val="20"/>
          <w:szCs w:val="20"/>
        </w:rPr>
        <w:t xml:space="preserve"> </w:t>
      </w:r>
    </w:p>
    <w:sectPr w:rsidR="00341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52"/>
    <w:rsid w:val="0012432F"/>
    <w:rsid w:val="001E3659"/>
    <w:rsid w:val="002F31B7"/>
    <w:rsid w:val="00341649"/>
    <w:rsid w:val="00481F92"/>
    <w:rsid w:val="00565388"/>
    <w:rsid w:val="006103D2"/>
    <w:rsid w:val="00641D63"/>
    <w:rsid w:val="00741398"/>
    <w:rsid w:val="00747D2E"/>
    <w:rsid w:val="00757116"/>
    <w:rsid w:val="008B18FE"/>
    <w:rsid w:val="008D6087"/>
    <w:rsid w:val="009A4954"/>
    <w:rsid w:val="00B55FD5"/>
    <w:rsid w:val="00B91F3F"/>
    <w:rsid w:val="00BF011D"/>
    <w:rsid w:val="00F8503B"/>
    <w:rsid w:val="00FC6E52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1773"/>
  <w15:chartTrackingRefBased/>
  <w15:docId w15:val="{28F02D92-C088-4382-A2F9-DA61C16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52"/>
    <w:pPr>
      <w:spacing w:after="5" w:line="249" w:lineRule="auto"/>
      <w:ind w:left="30" w:hanging="10"/>
      <w:jc w:val="both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E5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ximena p</cp:lastModifiedBy>
  <cp:revision>4</cp:revision>
  <dcterms:created xsi:type="dcterms:W3CDTF">2018-05-16T18:10:00Z</dcterms:created>
  <dcterms:modified xsi:type="dcterms:W3CDTF">2018-07-05T15:19:00Z</dcterms:modified>
</cp:coreProperties>
</file>